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bookmarkStart w:id="11" w:name="_GoBack"/>
      <w:r>
        <w:rPr>
          <w:rFonts w:hint="eastAsia"/>
          <w:b/>
          <w:sz w:val="32"/>
          <w:szCs w:val="32"/>
        </w:rPr>
        <w:t>投标报名资格审查指引表</w:t>
      </w:r>
    </w:p>
    <w:bookmarkEnd w:id="11"/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t>在中华人民共和国境内注册，具有独立法人资格</w:t>
            </w:r>
            <w:r>
              <w:rPr>
                <w:rFonts w:hint="eastAsia"/>
              </w:rPr>
              <w:t>，经营范围涵盖</w:t>
            </w:r>
            <w:r>
              <w:rPr>
                <w:rFonts w:hint="eastAsia" w:ascii="宋体" w:hAnsi="宋体"/>
              </w:rPr>
              <w:t>中央空调维修保养</w:t>
            </w:r>
            <w:r>
              <w:rPr>
                <w:rFonts w:hint="eastAsia"/>
              </w:rPr>
              <w:t>服务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提供有效的加盖公章的营业执照</w:t>
            </w:r>
            <w:r>
              <w:rPr>
                <w:rFonts w:hint="eastAsia" w:ascii="宋体" w:hAnsi="宋体" w:cs="宋体"/>
                <w:color w:val="000000"/>
              </w:rPr>
              <w:t>及经营范围证明</w:t>
            </w:r>
            <w:r>
              <w:rPr>
                <w:rFonts w:hint="eastAsia" w:ascii="宋体" w:hAnsi="宋体" w:cs="宋体"/>
              </w:rPr>
              <w:t>复印件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0" w:name="OLE_LINK4"/>
            <w:r>
              <w:rPr>
                <w:rFonts w:hint="eastAsia" w:ascii="宋体" w:hAnsi="宋体" w:cs="宋体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1" w:name="OLE_LINK25"/>
            <w:r>
              <w:rPr>
                <w:rFonts w:hint="eastAsia" w:ascii="宋体" w:hAnsi="宋体" w:cs="宋体"/>
              </w:rPr>
              <w:t>提供法定代表人身份证明书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2" w:name="OLE_LINK5"/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见附件1</w:t>
            </w:r>
            <w:r>
              <w:rPr>
                <w:rFonts w:hint="eastAsia" w:ascii="宋体" w:hAnsi="宋体" w:cs="宋体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3" w:name="OLE_LINK23" w:colFirst="0" w:colLast="4"/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FE"/>
            </w:r>
            <w:r>
              <w:rPr>
                <w:rFonts w:hint="eastAsia" w:ascii="宋体" w:hAnsi="宋体" w:cs="宋体"/>
              </w:rPr>
              <w:t>本项目不接受联合体投标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4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本</w:t>
            </w:r>
            <w:bookmarkStart w:id="5" w:name="OLE_LINK11"/>
            <w:r>
              <w:rPr>
                <w:rFonts w:hint="eastAsia" w:ascii="宋体" w:hAnsi="宋体" w:cs="宋体"/>
              </w:rPr>
              <w:t>项目接受联合体投标</w:t>
            </w:r>
            <w:bookmarkEnd w:id="5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提供联合体协议书并加盖公章（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</w:t>
            </w:r>
            <w:bookmarkStart w:id="6" w:name="OLE_LINK12"/>
            <w:r>
              <w:rPr>
                <w:rFonts w:hint="eastAsia" w:ascii="宋体" w:hAnsi="宋体" w:cs="宋体"/>
              </w:rPr>
              <w:t>（</w:t>
            </w:r>
            <w:r>
              <w:rPr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bookmarkEnd w:id="6"/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资质证明文件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</w:rPr>
              <w:t>具有一级中央空调维修企业技术等级证书及《安全生产许可证》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提供证书扫描件加盖公章，原件备查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（根据项目实际进行补充）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</w:tbl>
    <w:p>
      <w:pPr>
        <w:spacing w:line="400" w:lineRule="exact"/>
        <w:jc w:val="center"/>
        <w:rPr>
          <w:sz w:val="28"/>
          <w:szCs w:val="28"/>
        </w:rPr>
      </w:pP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  <w:bookmarkStart w:id="7" w:name="_Toc69810748"/>
      <w:bookmarkStart w:id="8" w:name="_Toc32343"/>
      <w:bookmarkStart w:id="9" w:name="_Toc82507468"/>
      <w:bookmarkStart w:id="10" w:name="_Toc82520904"/>
    </w:p>
    <w:bookmarkEnd w:id="7"/>
    <w:bookmarkEnd w:id="8"/>
    <w:bookmarkEnd w:id="9"/>
    <w:bookmarkEnd w:id="1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44C35"/>
    <w:rsid w:val="16C44C35"/>
    <w:rsid w:val="30F61ECB"/>
    <w:rsid w:val="3AB37797"/>
    <w:rsid w:val="4927146A"/>
    <w:rsid w:val="5FE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 w:val="0"/>
      <w:kern w:val="44"/>
      <w:sz w:val="52"/>
      <w:szCs w:val="44"/>
    </w:rPr>
  </w:style>
  <w:style w:type="paragraph" w:styleId="4">
    <w:name w:val="heading 2"/>
    <w:basedOn w:val="3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2025-12-01T07:21:00Z</dcterms:created>
  <dc:creator>GSJ</dc:creator>
  <cp:lastModifiedBy>sznews</cp:lastModifiedBy>
  <dcterms:modified xsi:type="dcterms:W3CDTF">2025-12-01T08:37:06Z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